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27F7" w14:textId="77777777" w:rsidR="00F1295F" w:rsidRDefault="00F1295F" w:rsidP="00F1295F">
      <w:pPr>
        <w:rPr>
          <w:sz w:val="24"/>
          <w:szCs w:val="24"/>
        </w:rPr>
      </w:pPr>
      <w:bookmarkStart w:id="0" w:name="_GoBack"/>
      <w:bookmarkEnd w:id="0"/>
      <w:r w:rsidRPr="00AF26CB">
        <w:rPr>
          <w:b/>
          <w:sz w:val="24"/>
          <w:szCs w:val="24"/>
        </w:rPr>
        <w:t>Local Plans – Boroughs and Districts 2018</w:t>
      </w:r>
    </w:p>
    <w:p w14:paraId="62C6EBDF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Elmbridge</w:t>
      </w:r>
    </w:p>
    <w:p w14:paraId="0453AC3F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Epsom and Ewell</w:t>
      </w:r>
      <w:r w:rsidR="001621E7">
        <w:rPr>
          <w:sz w:val="24"/>
          <w:szCs w:val="24"/>
        </w:rPr>
        <w:t xml:space="preserve"> – Jeremy – letter sent</w:t>
      </w:r>
    </w:p>
    <w:p w14:paraId="1903A563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Guildford</w:t>
      </w:r>
    </w:p>
    <w:p w14:paraId="3BEC78CB" w14:textId="77777777" w:rsidR="001621E7" w:rsidRPr="001621E7" w:rsidRDefault="001621E7" w:rsidP="00162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21E7">
        <w:rPr>
          <w:rFonts w:ascii="Calibri" w:eastAsia="Times New Roman" w:hAnsi="Calibri" w:cs="Calibri"/>
          <w:color w:val="000000"/>
          <w:lang w:eastAsia="en-GB"/>
        </w:rPr>
        <w:t>The allocated sites for pitches are: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307"/>
        <w:gridCol w:w="1306"/>
        <w:gridCol w:w="2614"/>
      </w:tblGrid>
      <w:tr w:rsidR="001621E7" w:rsidRPr="001621E7" w14:paraId="3E7819B4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D591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Policy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0301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 allocated for Gypsy and Traveller pitches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036C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Allocation</w:t>
            </w:r>
          </w:p>
        </w:tc>
      </w:tr>
      <w:tr w:rsidR="001621E7" w:rsidRPr="001621E7" w14:paraId="15C6A0D9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F592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A25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9A16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Gosden</w:t>
            </w:r>
            <w:proofErr w:type="spellEnd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 Farm, Merrow Lane, Guildford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12BD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8 public pitches</w:t>
            </w:r>
          </w:p>
        </w:tc>
      </w:tr>
      <w:tr w:rsidR="001621E7" w:rsidRPr="001621E7" w14:paraId="6F69B931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638D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A24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CCF9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Slyfield</w:t>
            </w:r>
            <w:proofErr w:type="spellEnd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Area Regeneration Project, Guildford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4181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6 public pitches</w:t>
            </w:r>
          </w:p>
        </w:tc>
      </w:tr>
      <w:tr w:rsidR="001621E7" w:rsidRPr="001621E7" w14:paraId="603FA666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8A02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A26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3649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Blackwell Farm, Hogs Back, Guildford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53E7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6 public pitches</w:t>
            </w:r>
          </w:p>
        </w:tc>
      </w:tr>
      <w:tr w:rsidR="001621E7" w:rsidRPr="001621E7" w14:paraId="5A7AC8B8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7CF6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A35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9E0C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Former </w:t>
            </w: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Wisley</w:t>
            </w:r>
            <w:proofErr w:type="spellEnd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Airfield, Ockham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DA13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8 public pitches</w:t>
            </w:r>
          </w:p>
        </w:tc>
      </w:tr>
      <w:tr w:rsidR="001621E7" w:rsidRPr="001621E7" w14:paraId="0876DBD0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0F10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A44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B8F2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Land west of Winds Ridge and Send Hill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F77A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2 public pitches</w:t>
            </w:r>
          </w:p>
        </w:tc>
      </w:tr>
      <w:tr w:rsidR="001621E7" w:rsidRPr="001621E7" w14:paraId="76AB3787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81E5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A49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0508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Palm House Nurseries, Normandy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F1C0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6 private pitches</w:t>
            </w:r>
          </w:p>
        </w:tc>
      </w:tr>
      <w:tr w:rsidR="001621E7" w:rsidRPr="001621E7" w14:paraId="2F1F4B00" w14:textId="77777777" w:rsidTr="001621E7">
        <w:trPr>
          <w:trHeight w:val="22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1BA6" w14:textId="77777777" w:rsidR="001621E7" w:rsidRPr="001621E7" w:rsidRDefault="001621E7" w:rsidP="001621E7">
            <w:pPr>
              <w:spacing w:after="0" w:line="22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A51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6E77" w14:textId="77777777" w:rsidR="001621E7" w:rsidRPr="001621E7" w:rsidRDefault="001621E7" w:rsidP="001621E7">
            <w:pPr>
              <w:spacing w:after="0" w:line="22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Land at </w:t>
            </w: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Cobbets</w:t>
            </w:r>
            <w:proofErr w:type="spellEnd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Close, </w:t>
            </w: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Worplesdon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D028" w14:textId="77777777" w:rsidR="001621E7" w:rsidRPr="001621E7" w:rsidRDefault="001621E7" w:rsidP="001621E7">
            <w:pPr>
              <w:spacing w:after="0" w:line="22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3 public pitches (net)</w:t>
            </w:r>
          </w:p>
        </w:tc>
      </w:tr>
      <w:tr w:rsidR="001621E7" w:rsidRPr="001621E7" w14:paraId="390CF49C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08E1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A52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7D52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Four Acres Stables, </w:t>
            </w: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Worplesdon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ADF9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6 private pitches</w:t>
            </w:r>
          </w:p>
        </w:tc>
      </w:tr>
      <w:tr w:rsidR="001621E7" w:rsidRPr="001621E7" w14:paraId="0CA2AF6D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E5A1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A53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2CFA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Roundoak</w:t>
            </w:r>
            <w:proofErr w:type="spellEnd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, Wood Street Village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4457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1 private pitch</w:t>
            </w:r>
          </w:p>
        </w:tc>
      </w:tr>
      <w:tr w:rsidR="001621E7" w:rsidRPr="001621E7" w14:paraId="7C4E06D8" w14:textId="77777777" w:rsidTr="001621E7">
        <w:trPr>
          <w:trHeight w:val="22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98B3" w14:textId="77777777" w:rsidR="001621E7" w:rsidRPr="001621E7" w:rsidRDefault="001621E7" w:rsidP="001621E7">
            <w:pPr>
              <w:spacing w:after="0" w:line="22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A54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FC64" w14:textId="77777777" w:rsidR="001621E7" w:rsidRPr="001621E7" w:rsidRDefault="001621E7" w:rsidP="001621E7">
            <w:pPr>
              <w:spacing w:after="0" w:line="22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Lakeview, Ash Vale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81B6" w14:textId="77777777" w:rsidR="001621E7" w:rsidRPr="001621E7" w:rsidRDefault="001621E7" w:rsidP="001621E7">
            <w:pPr>
              <w:spacing w:after="0" w:line="22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3 private pitches (net)</w:t>
            </w:r>
          </w:p>
        </w:tc>
      </w:tr>
      <w:tr w:rsidR="001621E7" w:rsidRPr="001621E7" w14:paraId="55624635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839B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A55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A3F4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Orchard, </w:t>
            </w: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Puttenham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AEE4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1 private pitch (net)</w:t>
            </w:r>
          </w:p>
        </w:tc>
      </w:tr>
      <w:tr w:rsidR="001621E7" w:rsidRPr="001621E7" w14:paraId="0AC29022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2FE1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A56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8F4C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Valley Park Equestrian, </w:t>
            </w:r>
            <w:proofErr w:type="spellStart"/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Shalford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382B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5 private pitches</w:t>
            </w:r>
          </w:p>
        </w:tc>
      </w:tr>
      <w:tr w:rsidR="001621E7" w:rsidRPr="001621E7" w14:paraId="5CBC8362" w14:textId="77777777" w:rsidTr="001621E7">
        <w:trPr>
          <w:trHeight w:val="10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18E7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A57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4ABC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The Paddocks, Ripley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C898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4 private pitches</w:t>
            </w:r>
          </w:p>
          <w:p w14:paraId="44A72ED5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21E7" w:rsidRPr="001621E7" w14:paraId="291931C5" w14:textId="77777777" w:rsidTr="001621E7">
        <w:trPr>
          <w:trHeight w:val="372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36EB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CB9ED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33 public pitches</w:t>
            </w:r>
          </w:p>
          <w:p w14:paraId="7CC589CB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26 private pitches</w:t>
            </w:r>
          </w:p>
          <w:p w14:paraId="414422A3" w14:textId="77777777" w:rsidR="001621E7" w:rsidRDefault="001621E7" w:rsidP="0016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59 pitches in total</w:t>
            </w:r>
          </w:p>
          <w:p w14:paraId="6DF1A4A6" w14:textId="77777777" w:rsidR="001621E7" w:rsidRDefault="001621E7" w:rsidP="0016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6A46618C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6971A59" w14:textId="77777777" w:rsidR="001621E7" w:rsidRPr="001621E7" w:rsidRDefault="001621E7" w:rsidP="00162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21E7">
        <w:rPr>
          <w:rFonts w:ascii="Calibri" w:eastAsia="Times New Roman" w:hAnsi="Calibri" w:cs="Calibri"/>
          <w:color w:val="000000"/>
          <w:lang w:eastAsia="en-GB"/>
        </w:rPr>
        <w:t xml:space="preserve">The allocated sites for plots for Travelling </w:t>
      </w:r>
      <w:proofErr w:type="spellStart"/>
      <w:r w:rsidRPr="001621E7">
        <w:rPr>
          <w:rFonts w:ascii="Calibri" w:eastAsia="Times New Roman" w:hAnsi="Calibri" w:cs="Calibri"/>
          <w:color w:val="000000"/>
          <w:lang w:eastAsia="en-GB"/>
        </w:rPr>
        <w:t>Showpeople</w:t>
      </w:r>
      <w:proofErr w:type="spellEnd"/>
      <w:r w:rsidRPr="001621E7">
        <w:rPr>
          <w:rFonts w:ascii="Calibri" w:eastAsia="Times New Roman" w:hAnsi="Calibri" w:cs="Calibri"/>
          <w:color w:val="000000"/>
          <w:lang w:eastAsia="en-GB"/>
        </w:rPr>
        <w:t xml:space="preserve"> are:</w:t>
      </w:r>
    </w:p>
    <w:p w14:paraId="2DDAA29F" w14:textId="77777777" w:rsidR="001621E7" w:rsidRPr="001621E7" w:rsidRDefault="001621E7" w:rsidP="00162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21E7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313"/>
        <w:gridCol w:w="1312"/>
        <w:gridCol w:w="2626"/>
      </w:tblGrid>
      <w:tr w:rsidR="001621E7" w:rsidRPr="001621E7" w14:paraId="2A5774D6" w14:textId="77777777" w:rsidTr="001621E7">
        <w:trPr>
          <w:trHeight w:val="103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82E2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Policy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D8C4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Site allocated for Travelling </w:t>
            </w:r>
            <w:proofErr w:type="spellStart"/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Showpeople</w:t>
            </w:r>
            <w:proofErr w:type="spellEnd"/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Plots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A7AD" w14:textId="77777777" w:rsidR="001621E7" w:rsidRPr="001621E7" w:rsidRDefault="001621E7" w:rsidP="001621E7">
            <w:pPr>
              <w:spacing w:after="0" w:line="10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Allocation</w:t>
            </w:r>
          </w:p>
        </w:tc>
      </w:tr>
      <w:tr w:rsidR="001621E7" w:rsidRPr="001621E7" w14:paraId="04DC24D5" w14:textId="77777777" w:rsidTr="001621E7">
        <w:trPr>
          <w:trHeight w:val="2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F92D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A43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1F77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Land at Garlick’s Arch, Send Marsh Burnt Common and Ripley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1CA0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6 plots</w:t>
            </w:r>
          </w:p>
        </w:tc>
      </w:tr>
      <w:tr w:rsidR="001621E7" w:rsidRPr="001621E7" w14:paraId="7EB6E218" w14:textId="77777777" w:rsidTr="001621E7">
        <w:trPr>
          <w:trHeight w:val="2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B8DA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A50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42E2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Whittles Drive, Normandy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C114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color w:val="000000"/>
                <w:lang w:eastAsia="en-GB"/>
              </w:rPr>
              <w:t>14 (gross) plots, 2 (net) plots</w:t>
            </w:r>
          </w:p>
        </w:tc>
      </w:tr>
      <w:tr w:rsidR="001621E7" w:rsidRPr="001621E7" w14:paraId="6BB15BDB" w14:textId="77777777" w:rsidTr="001621E7">
        <w:trPr>
          <w:trHeight w:val="238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BE03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4658" w14:textId="77777777" w:rsidR="001621E7" w:rsidRPr="001621E7" w:rsidRDefault="001621E7" w:rsidP="0016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 private plots in total</w:t>
            </w:r>
          </w:p>
        </w:tc>
      </w:tr>
    </w:tbl>
    <w:p w14:paraId="0E1DE21D" w14:textId="77777777" w:rsidR="001621E7" w:rsidRDefault="001621E7" w:rsidP="00F1295F">
      <w:pPr>
        <w:rPr>
          <w:sz w:val="24"/>
          <w:szCs w:val="24"/>
        </w:rPr>
      </w:pPr>
    </w:p>
    <w:p w14:paraId="2B782843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Mole Valley – had </w:t>
      </w:r>
      <w:r w:rsidR="001621E7">
        <w:rPr>
          <w:sz w:val="24"/>
          <w:szCs w:val="24"/>
        </w:rPr>
        <w:t xml:space="preserve">detailed </w:t>
      </w:r>
      <w:r>
        <w:rPr>
          <w:sz w:val="24"/>
          <w:szCs w:val="24"/>
        </w:rPr>
        <w:t>meeting</w:t>
      </w:r>
      <w:r w:rsidR="001621E7">
        <w:rPr>
          <w:sz w:val="24"/>
          <w:szCs w:val="24"/>
        </w:rPr>
        <w:t xml:space="preserve"> on needs</w:t>
      </w:r>
      <w:r>
        <w:rPr>
          <w:sz w:val="24"/>
          <w:szCs w:val="24"/>
        </w:rPr>
        <w:t xml:space="preserve"> and submitted briefing paper</w:t>
      </w:r>
      <w:r w:rsidR="001621E7">
        <w:rPr>
          <w:sz w:val="24"/>
          <w:szCs w:val="24"/>
        </w:rPr>
        <w:t xml:space="preserve"> for new councillors</w:t>
      </w:r>
    </w:p>
    <w:p w14:paraId="3BAD4EE2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Reigate and Banstead – consultation now closed, claim to have no GRT in borough</w:t>
      </w:r>
      <w:r w:rsidR="001621E7">
        <w:rPr>
          <w:sz w:val="24"/>
          <w:szCs w:val="24"/>
        </w:rPr>
        <w:t xml:space="preserve"> – needs checking</w:t>
      </w:r>
    </w:p>
    <w:p w14:paraId="02B804F4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Runnymede</w:t>
      </w:r>
    </w:p>
    <w:p w14:paraId="68A2B7BD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Spelthorne</w:t>
      </w:r>
    </w:p>
    <w:p w14:paraId="456FC938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Surrey Heath</w:t>
      </w:r>
    </w:p>
    <w:p w14:paraId="6C8747FA" w14:textId="77777777" w:rsidR="001621E7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 xml:space="preserve">Tandridge </w:t>
      </w:r>
      <w:proofErr w:type="gramStart"/>
      <w:r>
        <w:rPr>
          <w:sz w:val="24"/>
          <w:szCs w:val="24"/>
        </w:rPr>
        <w:t xml:space="preserve">– </w:t>
      </w:r>
      <w:r w:rsidR="006C2F08">
        <w:rPr>
          <w:sz w:val="24"/>
          <w:szCs w:val="24"/>
        </w:rPr>
        <w:t xml:space="preserve"> 5</w:t>
      </w:r>
      <w:proofErr w:type="gramEnd"/>
      <w:r w:rsidR="001621E7">
        <w:rPr>
          <w:sz w:val="24"/>
          <w:szCs w:val="24"/>
        </w:rPr>
        <w:t xml:space="preserve"> pitches for Travellers to be provided, </w:t>
      </w:r>
      <w:r w:rsidR="006C2F08">
        <w:rPr>
          <w:sz w:val="24"/>
          <w:szCs w:val="24"/>
        </w:rPr>
        <w:t xml:space="preserve">21 for </w:t>
      </w:r>
      <w:proofErr w:type="spellStart"/>
      <w:r w:rsidR="006C2F08">
        <w:rPr>
          <w:sz w:val="24"/>
          <w:szCs w:val="24"/>
        </w:rPr>
        <w:t>Showpeople</w:t>
      </w:r>
      <w:proofErr w:type="spellEnd"/>
      <w:r w:rsidR="006C2F08">
        <w:rPr>
          <w:sz w:val="24"/>
          <w:szCs w:val="24"/>
        </w:rPr>
        <w:t xml:space="preserve">, </w:t>
      </w:r>
      <w:r w:rsidR="001621E7">
        <w:rPr>
          <w:sz w:val="24"/>
          <w:szCs w:val="24"/>
        </w:rPr>
        <w:t xml:space="preserve">possibly in arrangements with Reigate and Banstead. Plan to build new residential area in South Godstone and to include </w:t>
      </w:r>
      <w:r w:rsidR="006C2F08">
        <w:rPr>
          <w:sz w:val="24"/>
          <w:szCs w:val="24"/>
        </w:rPr>
        <w:t xml:space="preserve">some </w:t>
      </w:r>
      <w:r w:rsidR="001621E7">
        <w:rPr>
          <w:sz w:val="24"/>
          <w:szCs w:val="24"/>
        </w:rPr>
        <w:t>pitches within this. E</w:t>
      </w:r>
      <w:r>
        <w:rPr>
          <w:sz w:val="24"/>
          <w:szCs w:val="24"/>
        </w:rPr>
        <w:t>mail se</w:t>
      </w:r>
      <w:r w:rsidR="001621E7">
        <w:rPr>
          <w:sz w:val="24"/>
          <w:szCs w:val="24"/>
        </w:rPr>
        <w:t xml:space="preserve">nt in response to final consultation to express concern that number of pitches seems to be small and wish to see any concrete plans of incorporating pitches into new development. </w:t>
      </w:r>
    </w:p>
    <w:p w14:paraId="1CE12B79" w14:textId="77777777" w:rsidR="00F1295F" w:rsidRDefault="00F1295F" w:rsidP="00F1295F">
      <w:pPr>
        <w:rPr>
          <w:sz w:val="24"/>
          <w:szCs w:val="24"/>
        </w:rPr>
      </w:pPr>
      <w:r>
        <w:rPr>
          <w:sz w:val="24"/>
          <w:szCs w:val="24"/>
        </w:rPr>
        <w:t>Woking</w:t>
      </w:r>
    </w:p>
    <w:p w14:paraId="054D78EF" w14:textId="77777777" w:rsidR="006C2F08" w:rsidRDefault="00F1295F" w:rsidP="00356F6C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 xml:space="preserve">Waverley </w:t>
      </w:r>
      <w:proofErr w:type="gramStart"/>
      <w:r>
        <w:rPr>
          <w:sz w:val="24"/>
          <w:szCs w:val="24"/>
        </w:rPr>
        <w:t>–</w:t>
      </w:r>
      <w:r w:rsidR="00356F6C">
        <w:rPr>
          <w:sz w:val="24"/>
          <w:szCs w:val="24"/>
        </w:rPr>
        <w:t xml:space="preserve"> </w:t>
      </w:r>
      <w:r w:rsidR="006C2F08" w:rsidRPr="006C2F0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Waverley</w:t>
      </w:r>
      <w:proofErr w:type="gramEnd"/>
      <w:r w:rsidR="006C2F08" w:rsidRPr="006C2F0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plan (at present), to create 43 new pitches, no transit sites. </w:t>
      </w:r>
      <w:r w:rsidR="00356F6C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="006C2F08" w:rsidRPr="006C2F08">
        <w:rPr>
          <w:rFonts w:eastAsia="Times New Roman" w:cstheme="minorHAnsi"/>
          <w:color w:val="222222"/>
          <w:sz w:val="24"/>
          <w:szCs w:val="24"/>
          <w:lang w:eastAsia="en-GB"/>
        </w:rPr>
        <w:t>hey want most of them on existing sites, or by extending current sites, which means increasing the size by up to 7, 8 or 10, or 13 new pitches; I'm not sure how many pitches there a</w:t>
      </w:r>
      <w:r w:rsidR="00356F6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 already on these sites - </w:t>
      </w:r>
      <w:proofErr w:type="spellStart"/>
      <w:r w:rsidR="00356F6C">
        <w:rPr>
          <w:rFonts w:eastAsia="Times New Roman" w:cstheme="minorHAnsi"/>
          <w:color w:val="222222"/>
          <w:sz w:val="24"/>
          <w:szCs w:val="24"/>
          <w:lang w:eastAsia="en-GB"/>
        </w:rPr>
        <w:t>eg</w:t>
      </w:r>
      <w:proofErr w:type="spellEnd"/>
      <w:r w:rsidR="00356F6C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  <w:r w:rsidR="006C2F08" w:rsidRPr="006C2F08">
        <w:rPr>
          <w:rFonts w:eastAsia="Times New Roman" w:cstheme="minorHAnsi"/>
          <w:color w:val="222222"/>
          <w:sz w:val="24"/>
          <w:szCs w:val="24"/>
          <w:lang w:eastAsia="en-GB"/>
        </w:rPr>
        <w:t>adjacent to Lydia Park 8 new, rear of Lydia Park 5 new, Monkton Farm 7 new, East of the Willows 10 new. </w:t>
      </w:r>
    </w:p>
    <w:p w14:paraId="0825103E" w14:textId="77777777" w:rsidR="006C2F08" w:rsidRPr="006C2F08" w:rsidRDefault="006C2F08" w:rsidP="006C2F0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See pages 70 – 74 of plan.</w:t>
      </w:r>
    </w:p>
    <w:p w14:paraId="10ECBC78" w14:textId="77777777" w:rsidR="00F1295F" w:rsidRPr="006C2F08" w:rsidRDefault="00F1295F" w:rsidP="00F1295F">
      <w:pPr>
        <w:rPr>
          <w:rFonts w:cstheme="minorHAnsi"/>
          <w:sz w:val="24"/>
          <w:szCs w:val="24"/>
        </w:rPr>
      </w:pPr>
    </w:p>
    <w:p w14:paraId="650705EF" w14:textId="77777777" w:rsidR="0067331C" w:rsidRDefault="0067331C"/>
    <w:sectPr w:rsidR="0067331C" w:rsidSect="006A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5F"/>
    <w:rsid w:val="001621E7"/>
    <w:rsid w:val="001B6044"/>
    <w:rsid w:val="00356F6C"/>
    <w:rsid w:val="00506C8E"/>
    <w:rsid w:val="0067331C"/>
    <w:rsid w:val="006C2F08"/>
    <w:rsid w:val="00F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F226"/>
  <w15:docId w15:val="{7C58AC04-2B26-4280-B4A8-60F31F37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12388031021023483default">
    <w:name w:val="m_7612388031021023483default"/>
    <w:basedOn w:val="Normal"/>
    <w:rsid w:val="0016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lalage</dc:creator>
  <cp:lastModifiedBy>John Hockley</cp:lastModifiedBy>
  <cp:revision>2</cp:revision>
  <cp:lastPrinted>2018-09-15T16:19:00Z</cp:lastPrinted>
  <dcterms:created xsi:type="dcterms:W3CDTF">2018-09-15T16:20:00Z</dcterms:created>
  <dcterms:modified xsi:type="dcterms:W3CDTF">2018-09-15T16:20:00Z</dcterms:modified>
</cp:coreProperties>
</file>